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A9" w:rsidRDefault="00F60FA9" w:rsidP="00F60FA9">
      <w:pPr>
        <w:pStyle w:val="a3"/>
        <w:spacing w:before="60"/>
        <w:ind w:firstLine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МЕТОДОЛОГИЯ к разделу «Здравоохранение»</w:t>
      </w:r>
    </w:p>
    <w:p w:rsidR="00F60FA9" w:rsidRDefault="00F60FA9" w:rsidP="006C3A57">
      <w:pPr>
        <w:pStyle w:val="a3"/>
        <w:spacing w:before="6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C3A57" w:rsidRPr="00DD345E" w:rsidRDefault="006C3A57" w:rsidP="006C3A57">
      <w:pPr>
        <w:pStyle w:val="a3"/>
        <w:spacing w:before="60"/>
        <w:ind w:firstLine="720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DD345E">
        <w:rPr>
          <w:rFonts w:ascii="Times New Roman" w:hAnsi="Times New Roman" w:cs="Times New Roman"/>
          <w:sz w:val="22"/>
          <w:szCs w:val="22"/>
        </w:rPr>
        <w:t>Заболеваемость населения</w:t>
      </w:r>
      <w:r w:rsidRPr="00DD345E">
        <w:rPr>
          <w:rFonts w:ascii="Times New Roman" w:hAnsi="Times New Roman" w:cs="Times New Roman"/>
          <w:b w:val="0"/>
          <w:bCs/>
          <w:sz w:val="22"/>
          <w:szCs w:val="22"/>
        </w:rPr>
        <w:t xml:space="preserve">  характеризуется числом случаев заболеваний, выявленных (или взятых под диспансерное наблюдение) в течение года при обращении в лечебно-профилактические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организации</w:t>
      </w:r>
      <w:r w:rsidRPr="00DD345E">
        <w:rPr>
          <w:rFonts w:ascii="Times New Roman" w:hAnsi="Times New Roman" w:cs="Times New Roman"/>
          <w:b w:val="0"/>
          <w:bCs/>
          <w:sz w:val="22"/>
          <w:szCs w:val="22"/>
        </w:rPr>
        <w:t xml:space="preserve"> или при профилактическом осмотре. Первичная заболеваемость регистрируется при установлении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пациенту</w:t>
      </w:r>
      <w:r w:rsidRPr="00DD345E">
        <w:rPr>
          <w:rFonts w:ascii="Times New Roman" w:hAnsi="Times New Roman" w:cs="Times New Roman"/>
          <w:b w:val="0"/>
          <w:bCs/>
          <w:sz w:val="22"/>
          <w:szCs w:val="22"/>
        </w:rPr>
        <w:t xml:space="preserve"> диагноза впервые в жизни. Общая заболеваемость населения характеризуется общим числом случаев заболеваний, зарегистрированных в течение года. При этом учитываются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пациенты</w:t>
      </w:r>
      <w:r w:rsidRPr="00DD345E">
        <w:rPr>
          <w:rFonts w:ascii="Times New Roman" w:hAnsi="Times New Roman" w:cs="Times New Roman"/>
          <w:b w:val="0"/>
          <w:bCs/>
          <w:sz w:val="22"/>
          <w:szCs w:val="22"/>
        </w:rPr>
        <w:t>, которым диагноз установлен как впервые, так и при повторном (многократном) обращении по поводу данного заболевания.</w:t>
      </w:r>
    </w:p>
    <w:p w:rsidR="006C3A57" w:rsidRPr="00DD345E" w:rsidRDefault="006C3A57" w:rsidP="006C3A57">
      <w:pPr>
        <w:spacing w:before="60"/>
        <w:ind w:firstLine="720"/>
        <w:jc w:val="both"/>
        <w:rPr>
          <w:bCs/>
          <w:snapToGrid w:val="0"/>
          <w:color w:val="000000"/>
          <w:sz w:val="22"/>
          <w:szCs w:val="22"/>
        </w:rPr>
      </w:pPr>
      <w:r w:rsidRPr="00A20439">
        <w:rPr>
          <w:b/>
          <w:bCs/>
          <w:snapToGrid w:val="0"/>
          <w:color w:val="000000"/>
          <w:sz w:val="22"/>
          <w:szCs w:val="22"/>
        </w:rPr>
        <w:t>Уровень заболеваемости</w:t>
      </w:r>
      <w:r w:rsidRPr="00DD345E">
        <w:rPr>
          <w:bCs/>
          <w:snapToGrid w:val="0"/>
          <w:color w:val="000000"/>
          <w:sz w:val="22"/>
          <w:szCs w:val="22"/>
        </w:rPr>
        <w:t xml:space="preserve"> определяется отношением числа </w:t>
      </w:r>
      <w:r>
        <w:rPr>
          <w:bCs/>
          <w:snapToGrid w:val="0"/>
          <w:color w:val="000000"/>
          <w:sz w:val="22"/>
          <w:szCs w:val="22"/>
        </w:rPr>
        <w:t xml:space="preserve">пациентов с впервые установленным диагнозом </w:t>
      </w:r>
      <w:r w:rsidRPr="00DD345E">
        <w:rPr>
          <w:bCs/>
          <w:snapToGrid w:val="0"/>
          <w:color w:val="000000"/>
          <w:sz w:val="22"/>
          <w:szCs w:val="22"/>
        </w:rPr>
        <w:t>к среднегодовой численности постоянного населения.</w:t>
      </w:r>
    </w:p>
    <w:p w:rsidR="006C3A57" w:rsidRPr="00DD345E" w:rsidRDefault="006C3A57" w:rsidP="006C3A57">
      <w:pPr>
        <w:spacing w:before="60"/>
        <w:ind w:firstLine="720"/>
        <w:jc w:val="both"/>
        <w:rPr>
          <w:bCs/>
          <w:snapToGrid w:val="0"/>
          <w:color w:val="000000"/>
          <w:sz w:val="22"/>
          <w:szCs w:val="22"/>
        </w:rPr>
      </w:pPr>
      <w:r w:rsidRPr="00DD345E">
        <w:rPr>
          <w:b/>
          <w:snapToGrid w:val="0"/>
          <w:color w:val="000000"/>
          <w:sz w:val="22"/>
          <w:szCs w:val="22"/>
        </w:rPr>
        <w:t xml:space="preserve">Контингент </w:t>
      </w:r>
      <w:r>
        <w:rPr>
          <w:b/>
          <w:snapToGrid w:val="0"/>
          <w:color w:val="000000"/>
          <w:sz w:val="22"/>
          <w:szCs w:val="22"/>
        </w:rPr>
        <w:t>пациентов</w:t>
      </w:r>
      <w:r w:rsidRPr="00DD345E">
        <w:rPr>
          <w:bCs/>
          <w:snapToGrid w:val="0"/>
          <w:color w:val="000000"/>
          <w:sz w:val="22"/>
          <w:szCs w:val="22"/>
        </w:rPr>
        <w:t xml:space="preserve"> включает совокупность всех лиц, страдающих данной болезнью, обратившихся в медицинск</w:t>
      </w:r>
      <w:r>
        <w:rPr>
          <w:bCs/>
          <w:snapToGrid w:val="0"/>
          <w:color w:val="000000"/>
          <w:sz w:val="22"/>
          <w:szCs w:val="22"/>
        </w:rPr>
        <w:t xml:space="preserve">ую организацию </w:t>
      </w:r>
      <w:r w:rsidRPr="00DD345E">
        <w:rPr>
          <w:bCs/>
          <w:snapToGrid w:val="0"/>
          <w:color w:val="000000"/>
          <w:sz w:val="22"/>
          <w:szCs w:val="22"/>
        </w:rPr>
        <w:t xml:space="preserve">как в текущем, так и в предыдущие годы. Показатель исчисляется как отношение числа </w:t>
      </w:r>
      <w:r>
        <w:rPr>
          <w:bCs/>
          <w:snapToGrid w:val="0"/>
          <w:color w:val="000000"/>
          <w:sz w:val="22"/>
          <w:szCs w:val="22"/>
        </w:rPr>
        <w:t>пациентов</w:t>
      </w:r>
      <w:r w:rsidRPr="00DD345E">
        <w:rPr>
          <w:bCs/>
          <w:snapToGrid w:val="0"/>
          <w:color w:val="000000"/>
          <w:sz w:val="22"/>
          <w:szCs w:val="22"/>
        </w:rPr>
        <w:t xml:space="preserve">, состоящих на учете в </w:t>
      </w:r>
      <w:r>
        <w:rPr>
          <w:bCs/>
          <w:snapToGrid w:val="0"/>
          <w:color w:val="000000"/>
          <w:sz w:val="22"/>
          <w:szCs w:val="22"/>
        </w:rPr>
        <w:t>организациях</w:t>
      </w:r>
      <w:r w:rsidRPr="00DD345E">
        <w:rPr>
          <w:bCs/>
          <w:snapToGrid w:val="0"/>
          <w:color w:val="000000"/>
          <w:sz w:val="22"/>
          <w:szCs w:val="22"/>
        </w:rPr>
        <w:t xml:space="preserve"> здравоохранения на конец года, к численности постоянного населения на конец года.</w:t>
      </w:r>
    </w:p>
    <w:p w:rsidR="006C3A57" w:rsidRPr="00DD345E" w:rsidRDefault="006C3A57" w:rsidP="006C3A57">
      <w:pPr>
        <w:spacing w:before="60"/>
        <w:ind w:firstLine="720"/>
        <w:jc w:val="both"/>
        <w:rPr>
          <w:bCs/>
          <w:snapToGrid w:val="0"/>
          <w:color w:val="000000"/>
          <w:sz w:val="22"/>
          <w:szCs w:val="22"/>
        </w:rPr>
      </w:pPr>
      <w:r w:rsidRPr="00DD345E">
        <w:rPr>
          <w:bCs/>
          <w:snapToGrid w:val="0"/>
          <w:color w:val="000000"/>
          <w:sz w:val="22"/>
          <w:szCs w:val="22"/>
        </w:rPr>
        <w:t>Для статистической разработки данных о з</w:t>
      </w:r>
      <w:r>
        <w:rPr>
          <w:bCs/>
          <w:snapToGrid w:val="0"/>
          <w:color w:val="000000"/>
          <w:sz w:val="22"/>
          <w:szCs w:val="22"/>
        </w:rPr>
        <w:t xml:space="preserve">аболеваемости населения </w:t>
      </w:r>
      <w:r w:rsidRPr="00DD345E">
        <w:rPr>
          <w:bCs/>
          <w:snapToGrid w:val="0"/>
          <w:color w:val="000000"/>
          <w:sz w:val="22"/>
          <w:szCs w:val="22"/>
        </w:rPr>
        <w:t>при</w:t>
      </w:r>
      <w:r>
        <w:rPr>
          <w:bCs/>
          <w:snapToGrid w:val="0"/>
          <w:color w:val="000000"/>
          <w:sz w:val="22"/>
          <w:szCs w:val="22"/>
        </w:rPr>
        <w:t>менялась</w:t>
      </w:r>
      <w:r w:rsidRPr="00DD345E">
        <w:rPr>
          <w:bCs/>
          <w:snapToGrid w:val="0"/>
          <w:color w:val="000000"/>
          <w:sz w:val="22"/>
          <w:szCs w:val="22"/>
        </w:rPr>
        <w:t xml:space="preserve"> Международная статистическая классификация болезней и проблем, связанных со здоровьем </w:t>
      </w:r>
      <w:r>
        <w:rPr>
          <w:bCs/>
          <w:snapToGrid w:val="0"/>
          <w:color w:val="000000"/>
          <w:sz w:val="22"/>
          <w:szCs w:val="22"/>
        </w:rPr>
        <w:t xml:space="preserve">            </w:t>
      </w:r>
      <w:r w:rsidRPr="00DD345E">
        <w:rPr>
          <w:bCs/>
          <w:snapToGrid w:val="0"/>
          <w:color w:val="000000"/>
          <w:sz w:val="22"/>
          <w:szCs w:val="22"/>
        </w:rPr>
        <w:t>(</w:t>
      </w:r>
      <w:r w:rsidRPr="00DD345E">
        <w:rPr>
          <w:bCs/>
          <w:snapToGrid w:val="0"/>
          <w:color w:val="000000"/>
          <w:sz w:val="22"/>
          <w:szCs w:val="22"/>
          <w:lang w:val="en-US"/>
        </w:rPr>
        <w:t>X</w:t>
      </w:r>
      <w:r>
        <w:rPr>
          <w:bCs/>
          <w:snapToGrid w:val="0"/>
          <w:color w:val="000000"/>
          <w:sz w:val="22"/>
          <w:szCs w:val="22"/>
        </w:rPr>
        <w:t xml:space="preserve"> пересмотр ВОЗ 1989</w:t>
      </w:r>
      <w:r w:rsidRPr="00DD345E">
        <w:rPr>
          <w:bCs/>
          <w:snapToGrid w:val="0"/>
          <w:color w:val="000000"/>
          <w:sz w:val="22"/>
          <w:szCs w:val="22"/>
        </w:rPr>
        <w:t>г.).</w:t>
      </w:r>
    </w:p>
    <w:p w:rsidR="006C3A57" w:rsidRPr="00DD345E" w:rsidRDefault="006C3A57" w:rsidP="006C3A57">
      <w:pPr>
        <w:spacing w:before="60"/>
        <w:ind w:firstLine="720"/>
        <w:jc w:val="both"/>
        <w:rPr>
          <w:bCs/>
          <w:snapToGrid w:val="0"/>
          <w:color w:val="000000"/>
          <w:sz w:val="22"/>
          <w:szCs w:val="22"/>
        </w:rPr>
      </w:pPr>
      <w:r w:rsidRPr="00DD345E">
        <w:rPr>
          <w:b/>
          <w:snapToGrid w:val="0"/>
          <w:color w:val="000000"/>
          <w:sz w:val="22"/>
          <w:szCs w:val="22"/>
        </w:rPr>
        <w:t xml:space="preserve">Национальный календарь прививок </w:t>
      </w:r>
      <w:r w:rsidRPr="00DD345E">
        <w:rPr>
          <w:bCs/>
          <w:snapToGrid w:val="0"/>
          <w:color w:val="000000"/>
          <w:sz w:val="22"/>
          <w:szCs w:val="22"/>
        </w:rPr>
        <w:t>(схема проведения плановых прививок в России в установленные сроки) предусматривает проведение прививок против семи основ</w:t>
      </w:r>
      <w:r>
        <w:rPr>
          <w:bCs/>
          <w:snapToGrid w:val="0"/>
          <w:color w:val="000000"/>
          <w:sz w:val="22"/>
          <w:szCs w:val="22"/>
        </w:rPr>
        <w:t>ных ин</w:t>
      </w:r>
      <w:r w:rsidRPr="00DD345E">
        <w:rPr>
          <w:bCs/>
          <w:snapToGrid w:val="0"/>
          <w:color w:val="000000"/>
          <w:sz w:val="22"/>
          <w:szCs w:val="22"/>
        </w:rPr>
        <w:t>фек</w:t>
      </w:r>
      <w:r w:rsidRPr="00DD345E">
        <w:rPr>
          <w:bCs/>
          <w:snapToGrid w:val="0"/>
          <w:color w:val="000000"/>
          <w:sz w:val="22"/>
          <w:szCs w:val="22"/>
        </w:rPr>
        <w:softHyphen/>
        <w:t>ционных болезней: туберкулеза, полиомиелита, дифтерии, коклюша, столбня</w:t>
      </w:r>
      <w:r>
        <w:rPr>
          <w:bCs/>
          <w:snapToGrid w:val="0"/>
          <w:color w:val="000000"/>
          <w:sz w:val="22"/>
          <w:szCs w:val="22"/>
        </w:rPr>
        <w:t>ка, ко</w:t>
      </w:r>
      <w:r w:rsidRPr="00DD345E">
        <w:rPr>
          <w:bCs/>
          <w:snapToGrid w:val="0"/>
          <w:color w:val="000000"/>
          <w:sz w:val="22"/>
          <w:szCs w:val="22"/>
        </w:rPr>
        <w:t>ри, эпидемического паротита, шесть из которых (против туберкулеза, полиомиели</w:t>
      </w:r>
      <w:r>
        <w:rPr>
          <w:bCs/>
          <w:snapToGrid w:val="0"/>
          <w:color w:val="000000"/>
          <w:sz w:val="22"/>
          <w:szCs w:val="22"/>
        </w:rPr>
        <w:t>та, коклю</w:t>
      </w:r>
      <w:r w:rsidRPr="00DD345E">
        <w:rPr>
          <w:bCs/>
          <w:snapToGrid w:val="0"/>
          <w:color w:val="000000"/>
          <w:sz w:val="22"/>
          <w:szCs w:val="22"/>
        </w:rPr>
        <w:t>ша, дифтерии, столбняка, кори) согласно Федеральному закону Россий</w:t>
      </w:r>
      <w:r>
        <w:rPr>
          <w:bCs/>
          <w:snapToGrid w:val="0"/>
          <w:color w:val="000000"/>
          <w:sz w:val="22"/>
          <w:szCs w:val="22"/>
        </w:rPr>
        <w:t>ской Федерации от 30 марта 1999г. № 52-Ф3 "О санитарно-эпи</w:t>
      </w:r>
      <w:r w:rsidRPr="00DD345E">
        <w:rPr>
          <w:bCs/>
          <w:snapToGrid w:val="0"/>
          <w:color w:val="000000"/>
          <w:sz w:val="22"/>
          <w:szCs w:val="22"/>
        </w:rPr>
        <w:t>демиологическом благополучии населения" являются обязатель</w:t>
      </w:r>
      <w:r>
        <w:rPr>
          <w:bCs/>
          <w:snapToGrid w:val="0"/>
          <w:color w:val="000000"/>
          <w:sz w:val="22"/>
          <w:szCs w:val="22"/>
        </w:rPr>
        <w:t>ными. В соответст</w:t>
      </w:r>
      <w:r w:rsidRPr="00DD345E">
        <w:rPr>
          <w:bCs/>
          <w:snapToGrid w:val="0"/>
          <w:color w:val="000000"/>
          <w:sz w:val="22"/>
          <w:szCs w:val="22"/>
        </w:rPr>
        <w:t>вии с Национальным календарем прививок установлен возраст проведения начального курса прививок (вакцинация) и повторных прививок (ревакцинация).</w:t>
      </w:r>
    </w:p>
    <w:p w:rsidR="006C3A57" w:rsidRPr="00DD345E" w:rsidRDefault="006C3A57" w:rsidP="006C3A57">
      <w:pPr>
        <w:spacing w:before="60"/>
        <w:ind w:firstLine="720"/>
        <w:jc w:val="both"/>
        <w:rPr>
          <w:sz w:val="22"/>
          <w:szCs w:val="22"/>
        </w:rPr>
      </w:pPr>
      <w:r w:rsidRPr="00DD345E">
        <w:rPr>
          <w:b/>
          <w:sz w:val="22"/>
          <w:szCs w:val="22"/>
        </w:rPr>
        <w:t xml:space="preserve">Профилактические прививки </w:t>
      </w:r>
      <w:r w:rsidRPr="00DD345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D345E">
        <w:rPr>
          <w:sz w:val="22"/>
          <w:szCs w:val="22"/>
        </w:rPr>
        <w:t>введение в организм человека медицинских иммунобиологических препаратов для создания специфической невосприимчивости к инфекционным болезням.</w:t>
      </w:r>
    </w:p>
    <w:p w:rsidR="006C3A57" w:rsidRPr="00DD345E" w:rsidRDefault="006C3A57" w:rsidP="006C3A57">
      <w:pPr>
        <w:spacing w:before="60"/>
        <w:ind w:firstLine="720"/>
        <w:jc w:val="both"/>
        <w:rPr>
          <w:sz w:val="22"/>
          <w:szCs w:val="22"/>
        </w:rPr>
      </w:pPr>
      <w:r w:rsidRPr="00DD345E">
        <w:rPr>
          <w:b/>
          <w:sz w:val="22"/>
          <w:szCs w:val="22"/>
        </w:rPr>
        <w:t xml:space="preserve">Инвалидность </w:t>
      </w:r>
      <w:r w:rsidRPr="00DD345E">
        <w:rPr>
          <w:sz w:val="22"/>
          <w:szCs w:val="22"/>
        </w:rPr>
        <w:t>означает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человека и вызывающее необходимость его социальной защиты.</w:t>
      </w:r>
    </w:p>
    <w:p w:rsidR="006C3A57" w:rsidRPr="00DD345E" w:rsidRDefault="006C3A57" w:rsidP="006C3A57">
      <w:pPr>
        <w:spacing w:before="60"/>
        <w:ind w:firstLine="720"/>
        <w:jc w:val="both"/>
        <w:rPr>
          <w:sz w:val="22"/>
          <w:szCs w:val="22"/>
        </w:rPr>
      </w:pPr>
      <w:r w:rsidRPr="00DD345E">
        <w:rPr>
          <w:sz w:val="22"/>
          <w:szCs w:val="22"/>
        </w:rPr>
        <w:t xml:space="preserve">В </w:t>
      </w:r>
      <w:r w:rsidRPr="00DD345E">
        <w:rPr>
          <w:b/>
          <w:sz w:val="22"/>
          <w:szCs w:val="22"/>
        </w:rPr>
        <w:t xml:space="preserve">численность инвалидов </w:t>
      </w:r>
      <w:r w:rsidRPr="00DD345E">
        <w:rPr>
          <w:sz w:val="22"/>
          <w:szCs w:val="22"/>
        </w:rPr>
        <w:t xml:space="preserve">включаются лица, состоящие на учете и получающие пенсию в </w:t>
      </w:r>
      <w:r>
        <w:rPr>
          <w:sz w:val="22"/>
          <w:szCs w:val="22"/>
        </w:rPr>
        <w:t xml:space="preserve">органах, осуществляющих пенсионное обеспечение (по данным Отделения Пенсионного фонда Российской Федерации по Республике Саха (Якутия)), лица впервые признанные инвалидами и дети-инвалиды, состоящие на учете в органах здравоохранения. </w:t>
      </w:r>
    </w:p>
    <w:p w:rsidR="006C3A57" w:rsidRDefault="006C3A57" w:rsidP="006C3A57">
      <w:pPr>
        <w:spacing w:before="60"/>
        <w:ind w:firstLine="720"/>
        <w:jc w:val="both"/>
      </w:pPr>
      <w:r w:rsidRPr="00DD345E">
        <w:rPr>
          <w:b/>
          <w:bCs/>
          <w:sz w:val="22"/>
          <w:szCs w:val="22"/>
        </w:rPr>
        <w:t>Стационарное учреждение социального обслуживания</w:t>
      </w:r>
      <w:r w:rsidRPr="00DD345E">
        <w:rPr>
          <w:sz w:val="22"/>
          <w:szCs w:val="22"/>
        </w:rPr>
        <w:t xml:space="preserve"> </w:t>
      </w:r>
      <w:r w:rsidRPr="00DD345E">
        <w:rPr>
          <w:b/>
          <w:bCs/>
          <w:sz w:val="22"/>
          <w:szCs w:val="22"/>
        </w:rPr>
        <w:t>для граждан пожилого возраста</w:t>
      </w:r>
      <w:r w:rsidRPr="00DD345E">
        <w:rPr>
          <w:sz w:val="22"/>
          <w:szCs w:val="22"/>
        </w:rPr>
        <w:t xml:space="preserve"> </w:t>
      </w:r>
      <w:r w:rsidRPr="00DD345E">
        <w:rPr>
          <w:b/>
          <w:sz w:val="22"/>
          <w:szCs w:val="22"/>
        </w:rPr>
        <w:t>и инвалидов</w:t>
      </w:r>
      <w:r>
        <w:rPr>
          <w:sz w:val="22"/>
          <w:szCs w:val="22"/>
        </w:rPr>
        <w:t xml:space="preserve"> (взрослых и детей, до 1997</w:t>
      </w:r>
      <w:r w:rsidRPr="00DD345E">
        <w:rPr>
          <w:sz w:val="22"/>
          <w:szCs w:val="22"/>
        </w:rPr>
        <w:t>г</w:t>
      </w:r>
      <w:r>
        <w:rPr>
          <w:sz w:val="22"/>
          <w:szCs w:val="22"/>
        </w:rPr>
        <w:t>. – дома-интернаты) – медико-со</w:t>
      </w:r>
      <w:r w:rsidRPr="00DD345E">
        <w:rPr>
          <w:sz w:val="22"/>
          <w:szCs w:val="22"/>
        </w:rPr>
        <w:t>циальное учреждение, предназначенное для постоянного проживания граждан пожилого возраста и инвалидов, нуждающихся в уходе, бытовом и медицинском обслуживании.</w:t>
      </w:r>
    </w:p>
    <w:p w:rsidR="006C3A57" w:rsidRPr="003A7070" w:rsidRDefault="006C3A57" w:rsidP="006C3A57">
      <w:pPr>
        <w:spacing w:before="60"/>
        <w:ind w:firstLine="720"/>
        <w:jc w:val="both"/>
        <w:rPr>
          <w:sz w:val="22"/>
          <w:szCs w:val="22"/>
        </w:rPr>
      </w:pPr>
      <w:r w:rsidRPr="003A7070">
        <w:rPr>
          <w:sz w:val="22"/>
          <w:szCs w:val="22"/>
        </w:rPr>
        <w:t xml:space="preserve">В </w:t>
      </w:r>
      <w:r w:rsidRPr="003A7070">
        <w:rPr>
          <w:b/>
          <w:sz w:val="22"/>
          <w:szCs w:val="22"/>
        </w:rPr>
        <w:t>число амбулаторно-поликлинических</w:t>
      </w:r>
      <w:r w:rsidRPr="003A707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организаций</w:t>
      </w:r>
      <w:r w:rsidRPr="003A7070">
        <w:rPr>
          <w:sz w:val="22"/>
          <w:szCs w:val="22"/>
        </w:rPr>
        <w:t xml:space="preserve"> включаются все медицинские </w:t>
      </w:r>
      <w:r>
        <w:rPr>
          <w:sz w:val="22"/>
          <w:szCs w:val="22"/>
        </w:rPr>
        <w:t>организации</w:t>
      </w:r>
      <w:r w:rsidRPr="003A7070">
        <w:rPr>
          <w:sz w:val="22"/>
          <w:szCs w:val="22"/>
        </w:rPr>
        <w:t xml:space="preserve">, которые ведут амбулаторный прием (поликлиники, амбулатории, диспансеры, поликлинические отделения в составе больничных </w:t>
      </w:r>
      <w:r>
        <w:rPr>
          <w:sz w:val="22"/>
          <w:szCs w:val="22"/>
        </w:rPr>
        <w:t>организаций</w:t>
      </w:r>
      <w:r w:rsidRPr="003A7070">
        <w:rPr>
          <w:sz w:val="22"/>
          <w:szCs w:val="22"/>
        </w:rPr>
        <w:t xml:space="preserve"> и др.). В амбулаторно-поликлинических </w:t>
      </w:r>
      <w:r>
        <w:rPr>
          <w:sz w:val="22"/>
          <w:szCs w:val="22"/>
        </w:rPr>
        <w:t>организациях</w:t>
      </w:r>
      <w:r w:rsidRPr="003A7070">
        <w:rPr>
          <w:sz w:val="22"/>
          <w:szCs w:val="22"/>
        </w:rPr>
        <w:t xml:space="preserve"> учитывается их </w:t>
      </w:r>
      <w:r w:rsidRPr="003A7070">
        <w:rPr>
          <w:b/>
          <w:sz w:val="22"/>
          <w:szCs w:val="22"/>
        </w:rPr>
        <w:t>мощность (число посещений в смену)</w:t>
      </w:r>
      <w:r w:rsidRPr="003A7070">
        <w:rPr>
          <w:sz w:val="22"/>
          <w:szCs w:val="22"/>
        </w:rPr>
        <w:t>. Этот показатель предусмотрен в проектной документации, а при его отсутствии определяется как частное от деления фактически занимаемой площади на нормативный показатель площади.</w:t>
      </w:r>
    </w:p>
    <w:p w:rsidR="006C3A57" w:rsidRDefault="006C3A57" w:rsidP="006C3A57">
      <w:pPr>
        <w:spacing w:before="60"/>
        <w:ind w:firstLine="720"/>
        <w:jc w:val="both"/>
        <w:rPr>
          <w:sz w:val="22"/>
          <w:szCs w:val="22"/>
        </w:rPr>
      </w:pPr>
      <w:r w:rsidRPr="00B96D51">
        <w:rPr>
          <w:b/>
          <w:sz w:val="22"/>
          <w:szCs w:val="22"/>
        </w:rPr>
        <w:t xml:space="preserve">Больничные </w:t>
      </w:r>
      <w:r>
        <w:rPr>
          <w:b/>
          <w:sz w:val="22"/>
          <w:szCs w:val="22"/>
        </w:rPr>
        <w:t>организации</w:t>
      </w:r>
      <w:r>
        <w:rPr>
          <w:sz w:val="22"/>
          <w:szCs w:val="22"/>
        </w:rPr>
        <w:t xml:space="preserve"> – организации системы здравоохранения, осуществляющие медицинское обслуживание госпитализированных больных.</w:t>
      </w:r>
    </w:p>
    <w:p w:rsidR="006C3A57" w:rsidRPr="003A7070" w:rsidRDefault="006C3A57" w:rsidP="006C3A57">
      <w:pPr>
        <w:spacing w:before="60"/>
        <w:ind w:firstLine="720"/>
        <w:jc w:val="both"/>
        <w:rPr>
          <w:sz w:val="22"/>
          <w:szCs w:val="22"/>
        </w:rPr>
      </w:pPr>
      <w:r w:rsidRPr="003A7070">
        <w:rPr>
          <w:sz w:val="22"/>
          <w:szCs w:val="22"/>
        </w:rPr>
        <w:t xml:space="preserve">В больничных </w:t>
      </w:r>
      <w:r>
        <w:rPr>
          <w:sz w:val="22"/>
          <w:szCs w:val="22"/>
        </w:rPr>
        <w:t>организациях</w:t>
      </w:r>
      <w:r w:rsidRPr="003A7070">
        <w:rPr>
          <w:sz w:val="22"/>
          <w:szCs w:val="22"/>
        </w:rPr>
        <w:t xml:space="preserve"> учету подлежат </w:t>
      </w:r>
      <w:r w:rsidRPr="003A7070">
        <w:rPr>
          <w:b/>
          <w:sz w:val="22"/>
          <w:szCs w:val="22"/>
        </w:rPr>
        <w:t>койки</w:t>
      </w:r>
      <w:r w:rsidRPr="003A7070">
        <w:rPr>
          <w:sz w:val="22"/>
          <w:szCs w:val="22"/>
        </w:rPr>
        <w:t xml:space="preserve">, оборудованные необходимым инвентарем, независимо от того, заняты они </w:t>
      </w:r>
      <w:r>
        <w:rPr>
          <w:sz w:val="22"/>
          <w:szCs w:val="22"/>
        </w:rPr>
        <w:t>пациентами</w:t>
      </w:r>
      <w:r w:rsidRPr="003A7070">
        <w:rPr>
          <w:sz w:val="22"/>
          <w:szCs w:val="22"/>
        </w:rPr>
        <w:t xml:space="preserve"> или нет.</w:t>
      </w:r>
    </w:p>
    <w:p w:rsidR="006C3A57" w:rsidRPr="003A7070" w:rsidRDefault="006C3A57" w:rsidP="006C3A57">
      <w:pPr>
        <w:spacing w:before="60"/>
        <w:ind w:firstLine="720"/>
        <w:jc w:val="both"/>
        <w:rPr>
          <w:bCs/>
          <w:sz w:val="22"/>
          <w:szCs w:val="22"/>
        </w:rPr>
      </w:pPr>
      <w:r w:rsidRPr="003A7070">
        <w:rPr>
          <w:b/>
          <w:sz w:val="22"/>
          <w:szCs w:val="22"/>
        </w:rPr>
        <w:t xml:space="preserve">Среднее число дней занятости больничной койки </w:t>
      </w:r>
      <w:r w:rsidRPr="003A7070">
        <w:rPr>
          <w:bCs/>
          <w:sz w:val="22"/>
          <w:szCs w:val="22"/>
        </w:rPr>
        <w:t xml:space="preserve">рассчитывается как отношение числа койко-дней, проведенных </w:t>
      </w:r>
      <w:r>
        <w:rPr>
          <w:bCs/>
          <w:sz w:val="22"/>
          <w:szCs w:val="22"/>
        </w:rPr>
        <w:t>пациентами</w:t>
      </w:r>
      <w:r w:rsidRPr="003A7070">
        <w:rPr>
          <w:bCs/>
          <w:sz w:val="22"/>
          <w:szCs w:val="22"/>
        </w:rPr>
        <w:t>, к среднегодовому числу больничных коек.</w:t>
      </w:r>
    </w:p>
    <w:p w:rsidR="006C3A57" w:rsidRPr="003A7070" w:rsidRDefault="006C3A57" w:rsidP="006C3A57">
      <w:pPr>
        <w:spacing w:before="60"/>
        <w:ind w:firstLine="720"/>
        <w:jc w:val="both"/>
        <w:rPr>
          <w:bCs/>
          <w:sz w:val="22"/>
          <w:szCs w:val="22"/>
        </w:rPr>
      </w:pPr>
      <w:r w:rsidRPr="003A7070">
        <w:rPr>
          <w:b/>
          <w:sz w:val="22"/>
          <w:szCs w:val="22"/>
        </w:rPr>
        <w:lastRenderedPageBreak/>
        <w:t xml:space="preserve">Средняя длительность пребывания </w:t>
      </w:r>
      <w:r>
        <w:rPr>
          <w:b/>
          <w:sz w:val="22"/>
          <w:szCs w:val="22"/>
        </w:rPr>
        <w:t>пациента</w:t>
      </w:r>
      <w:r w:rsidRPr="003A7070">
        <w:rPr>
          <w:b/>
          <w:sz w:val="22"/>
          <w:szCs w:val="22"/>
        </w:rPr>
        <w:t xml:space="preserve"> на койке </w:t>
      </w:r>
      <w:r w:rsidRPr="003A7070">
        <w:rPr>
          <w:bCs/>
          <w:sz w:val="22"/>
          <w:szCs w:val="22"/>
        </w:rPr>
        <w:t xml:space="preserve">определяется отношением числа койко-дней, проведенных </w:t>
      </w:r>
      <w:r>
        <w:rPr>
          <w:bCs/>
          <w:sz w:val="22"/>
          <w:szCs w:val="22"/>
        </w:rPr>
        <w:t>пациентами</w:t>
      </w:r>
      <w:r w:rsidRPr="003A7070">
        <w:rPr>
          <w:bCs/>
          <w:sz w:val="22"/>
          <w:szCs w:val="22"/>
        </w:rPr>
        <w:t xml:space="preserve">, к численности пользованных </w:t>
      </w:r>
      <w:r>
        <w:rPr>
          <w:bCs/>
          <w:sz w:val="22"/>
          <w:szCs w:val="22"/>
        </w:rPr>
        <w:t>пациентов</w:t>
      </w:r>
      <w:r w:rsidRPr="003A7070">
        <w:rPr>
          <w:bCs/>
          <w:sz w:val="22"/>
          <w:szCs w:val="22"/>
        </w:rPr>
        <w:t xml:space="preserve">.  При этом численность пользованных </w:t>
      </w:r>
      <w:r>
        <w:rPr>
          <w:bCs/>
          <w:sz w:val="22"/>
          <w:szCs w:val="22"/>
        </w:rPr>
        <w:t>пациентов</w:t>
      </w:r>
      <w:r w:rsidRPr="003A7070">
        <w:rPr>
          <w:bCs/>
          <w:sz w:val="22"/>
          <w:szCs w:val="22"/>
        </w:rPr>
        <w:t xml:space="preserve"> рассчитывается как средняя арифметическая из численности поступивших и выбывших </w:t>
      </w:r>
      <w:r>
        <w:rPr>
          <w:bCs/>
          <w:sz w:val="22"/>
          <w:szCs w:val="22"/>
        </w:rPr>
        <w:t>пациентов</w:t>
      </w:r>
      <w:r w:rsidRPr="003A7070">
        <w:rPr>
          <w:bCs/>
          <w:sz w:val="22"/>
          <w:szCs w:val="22"/>
        </w:rPr>
        <w:t>.</w:t>
      </w:r>
    </w:p>
    <w:p w:rsidR="006C3A57" w:rsidRPr="003A7070" w:rsidRDefault="006C3A57" w:rsidP="006C3A57">
      <w:pPr>
        <w:spacing w:before="60"/>
        <w:ind w:firstLine="720"/>
        <w:jc w:val="both"/>
        <w:rPr>
          <w:bCs/>
          <w:sz w:val="22"/>
          <w:szCs w:val="22"/>
        </w:rPr>
      </w:pPr>
      <w:r w:rsidRPr="003A7070">
        <w:rPr>
          <w:b/>
          <w:sz w:val="22"/>
          <w:szCs w:val="22"/>
        </w:rPr>
        <w:t xml:space="preserve">Оборот (функция) койки </w:t>
      </w:r>
      <w:r w:rsidRPr="003A7070">
        <w:rPr>
          <w:bCs/>
          <w:sz w:val="22"/>
          <w:szCs w:val="22"/>
        </w:rPr>
        <w:t xml:space="preserve">рассчитывается как отношение среднего числа дней занятости койки к средней длительности пребывания </w:t>
      </w:r>
      <w:r>
        <w:rPr>
          <w:bCs/>
          <w:sz w:val="22"/>
          <w:szCs w:val="22"/>
        </w:rPr>
        <w:t>пациента</w:t>
      </w:r>
      <w:r w:rsidRPr="003A7070">
        <w:rPr>
          <w:bCs/>
          <w:sz w:val="22"/>
          <w:szCs w:val="22"/>
        </w:rPr>
        <w:t xml:space="preserve"> на койке.</w:t>
      </w:r>
    </w:p>
    <w:p w:rsidR="006C3A57" w:rsidRPr="003A7070" w:rsidRDefault="006C3A57" w:rsidP="006C3A57">
      <w:pPr>
        <w:spacing w:before="60"/>
        <w:ind w:firstLine="720"/>
        <w:jc w:val="both"/>
        <w:rPr>
          <w:bCs/>
          <w:sz w:val="22"/>
          <w:szCs w:val="22"/>
        </w:rPr>
      </w:pPr>
      <w:r w:rsidRPr="003A7070">
        <w:rPr>
          <w:b/>
          <w:sz w:val="22"/>
          <w:szCs w:val="22"/>
        </w:rPr>
        <w:t xml:space="preserve">Санатории и пансионаты с лечением </w:t>
      </w:r>
      <w:r w:rsidRPr="003A7070">
        <w:rPr>
          <w:bCs/>
          <w:sz w:val="22"/>
          <w:szCs w:val="22"/>
        </w:rPr>
        <w:t>–</w:t>
      </w:r>
      <w:r w:rsidRPr="003A7070">
        <w:rPr>
          <w:b/>
          <w:sz w:val="22"/>
          <w:szCs w:val="22"/>
        </w:rPr>
        <w:t xml:space="preserve"> </w:t>
      </w:r>
      <w:r w:rsidRPr="003A7070">
        <w:rPr>
          <w:bCs/>
          <w:sz w:val="22"/>
          <w:szCs w:val="22"/>
        </w:rPr>
        <w:t>лечебно-профилактические организации, оснащенные койками и обеспечивающие больным за определенный промежуток времени реабилитационное лечение, главным образом на основе использования целебных свойств природных факторов (климата, минеральных вод, лечебных грязей и др.). Все они специализированы и могут быть одно- или многопрофильными, располагаются, как правило, в пределах курортов и лечебно-оздоровительных местностей. В сборнике приведены данные о койках (местах), готовых к приему больных, в месяц максимального развертывания. Приведены данные о детских санаториях</w:t>
      </w:r>
      <w:r>
        <w:rPr>
          <w:bCs/>
          <w:sz w:val="22"/>
          <w:szCs w:val="22"/>
        </w:rPr>
        <w:t xml:space="preserve"> и санаторно-оздоровительных</w:t>
      </w:r>
      <w:r w:rsidRPr="003A7070">
        <w:rPr>
          <w:bCs/>
          <w:sz w:val="22"/>
          <w:szCs w:val="22"/>
        </w:rPr>
        <w:t xml:space="preserve"> лагеря</w:t>
      </w:r>
      <w:r>
        <w:rPr>
          <w:bCs/>
          <w:sz w:val="22"/>
          <w:szCs w:val="22"/>
        </w:rPr>
        <w:t>х</w:t>
      </w:r>
      <w:r w:rsidRPr="003A7070">
        <w:rPr>
          <w:bCs/>
          <w:sz w:val="22"/>
          <w:szCs w:val="22"/>
        </w:rPr>
        <w:t xml:space="preserve"> круглогодичного действия. </w:t>
      </w:r>
    </w:p>
    <w:p w:rsidR="006C3A57" w:rsidRPr="003A7070" w:rsidRDefault="006C3A57" w:rsidP="006C3A57">
      <w:pPr>
        <w:spacing w:before="60"/>
        <w:ind w:firstLine="720"/>
        <w:jc w:val="both"/>
        <w:rPr>
          <w:bCs/>
          <w:sz w:val="22"/>
          <w:szCs w:val="22"/>
        </w:rPr>
      </w:pPr>
      <w:r w:rsidRPr="003A7070">
        <w:rPr>
          <w:b/>
          <w:sz w:val="22"/>
          <w:szCs w:val="22"/>
        </w:rPr>
        <w:t>Санатории-профилактории</w:t>
      </w:r>
      <w:r w:rsidRPr="003A7070">
        <w:rPr>
          <w:bCs/>
          <w:sz w:val="22"/>
          <w:szCs w:val="22"/>
        </w:rPr>
        <w:t xml:space="preserve"> </w:t>
      </w:r>
      <w:r w:rsidRPr="003A7070">
        <w:rPr>
          <w:bCs/>
          <w:sz w:val="22"/>
          <w:szCs w:val="22"/>
        </w:rPr>
        <w:sym w:font="Symbol" w:char="F02D"/>
      </w:r>
      <w:r w:rsidRPr="003A7070">
        <w:rPr>
          <w:bCs/>
          <w:sz w:val="22"/>
          <w:szCs w:val="22"/>
        </w:rPr>
        <w:t xml:space="preserve"> лечебно-профилактические организации, оснащенные койками, действующие при организациях, обеспечивающие лечебно-оздоровительные мероприятия работникам без отрыва от производства, в свободное от работы время.</w:t>
      </w:r>
    </w:p>
    <w:p w:rsidR="006C3A57" w:rsidRDefault="006C3A57" w:rsidP="006C3A57"/>
    <w:p w:rsidR="006C3A57" w:rsidRPr="00073C53" w:rsidRDefault="006C3A57" w:rsidP="006C3A57">
      <w:pPr>
        <w:pStyle w:val="a5"/>
        <w:spacing w:before="60"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3C53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Pr="00A7526D">
        <w:rPr>
          <w:rFonts w:ascii="Times New Roman" w:hAnsi="Times New Roman" w:cs="Times New Roman"/>
          <w:bCs/>
          <w:sz w:val="22"/>
          <w:szCs w:val="22"/>
        </w:rPr>
        <w:t>занятым в экономике</w:t>
      </w:r>
      <w:r w:rsidRPr="00073C53">
        <w:rPr>
          <w:rFonts w:ascii="Times New Roman" w:hAnsi="Times New Roman" w:cs="Times New Roman"/>
          <w:b w:val="0"/>
          <w:sz w:val="22"/>
          <w:szCs w:val="22"/>
        </w:rPr>
        <w:t xml:space="preserve"> относятся лица, которые в рассматриваемый период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73C53">
        <w:rPr>
          <w:rFonts w:ascii="Times New Roman" w:hAnsi="Times New Roman" w:cs="Times New Roman"/>
          <w:b w:val="0"/>
          <w:sz w:val="22"/>
          <w:szCs w:val="22"/>
        </w:rPr>
        <w:t xml:space="preserve">выполняли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оплачиваемую </w:t>
      </w:r>
      <w:r w:rsidRPr="00073C53">
        <w:rPr>
          <w:rFonts w:ascii="Times New Roman" w:hAnsi="Times New Roman" w:cs="Times New Roman"/>
          <w:b w:val="0"/>
          <w:sz w:val="22"/>
          <w:szCs w:val="22"/>
        </w:rPr>
        <w:t xml:space="preserve">работу по найму, а также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приносящую доход работу </w:t>
      </w:r>
      <w:r w:rsidRPr="00073C53">
        <w:rPr>
          <w:rFonts w:ascii="Times New Roman" w:hAnsi="Times New Roman" w:cs="Times New Roman"/>
          <w:b w:val="0"/>
          <w:sz w:val="22"/>
          <w:szCs w:val="22"/>
        </w:rPr>
        <w:t>не по найму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как с привлечением, так и без привлечения наемных работников. В численность занятых включаются лица, которые выполняли работу в качестве помогающих на семейном предприятии, а также лица, которые временно отсутствовали на работе</w:t>
      </w:r>
      <w:r w:rsidRPr="00073C53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C3A57" w:rsidRDefault="006C3A57" w:rsidP="006C3A57">
      <w:pPr>
        <w:pStyle w:val="a5"/>
        <w:spacing w:before="60"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3C53">
        <w:rPr>
          <w:rFonts w:ascii="Times New Roman" w:hAnsi="Times New Roman" w:cs="Times New Roman"/>
          <w:b w:val="0"/>
          <w:sz w:val="22"/>
          <w:szCs w:val="22"/>
        </w:rPr>
        <w:t xml:space="preserve">Данные </w:t>
      </w:r>
      <w:r w:rsidRPr="00073C53">
        <w:rPr>
          <w:rFonts w:ascii="Times New Roman" w:hAnsi="Times New Roman" w:cs="Times New Roman"/>
          <w:b w:val="0"/>
          <w:bCs/>
          <w:sz w:val="22"/>
          <w:szCs w:val="22"/>
        </w:rPr>
        <w:t xml:space="preserve">о </w:t>
      </w:r>
      <w:r w:rsidRPr="00A7526D">
        <w:rPr>
          <w:rFonts w:ascii="Times New Roman" w:hAnsi="Times New Roman" w:cs="Times New Roman"/>
          <w:bCs/>
          <w:sz w:val="22"/>
          <w:szCs w:val="22"/>
        </w:rPr>
        <w:t>среднегодовой численности</w:t>
      </w:r>
      <w:r w:rsidRPr="00A7526D">
        <w:rPr>
          <w:rFonts w:ascii="Times New Roman" w:hAnsi="Times New Roman" w:cs="Times New Roman"/>
          <w:sz w:val="22"/>
          <w:szCs w:val="22"/>
        </w:rPr>
        <w:t xml:space="preserve"> занятых</w:t>
      </w:r>
      <w:r w:rsidRPr="00073C5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в экономике </w:t>
      </w:r>
      <w:r w:rsidRPr="00073C53">
        <w:rPr>
          <w:rFonts w:ascii="Times New Roman" w:hAnsi="Times New Roman" w:cs="Times New Roman"/>
          <w:b w:val="0"/>
          <w:sz w:val="22"/>
          <w:szCs w:val="22"/>
        </w:rPr>
        <w:t>формируются по основной работе один раз в год при составлении баланса трудовых ресурсов на основе сведений организаций, материалов выборочных обследований населения по проблемам занятости, данны</w:t>
      </w:r>
      <w:r>
        <w:rPr>
          <w:rFonts w:ascii="Times New Roman" w:hAnsi="Times New Roman" w:cs="Times New Roman"/>
          <w:b w:val="0"/>
          <w:sz w:val="22"/>
          <w:szCs w:val="22"/>
        </w:rPr>
        <w:t>х органов исполнительной власти</w:t>
      </w:r>
      <w:r w:rsidRPr="00073C53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C3A57" w:rsidRDefault="006C3A57" w:rsidP="006C3A57">
      <w:pPr>
        <w:pStyle w:val="a5"/>
        <w:spacing w:before="60"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1E13">
        <w:rPr>
          <w:rFonts w:ascii="Times New Roman" w:hAnsi="Times New Roman" w:cs="Times New Roman"/>
          <w:sz w:val="22"/>
          <w:szCs w:val="22"/>
        </w:rPr>
        <w:t>Среднесписочная численность работников за год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исчисляется путем суммирования среднесписочной численности работников организаций за каждый месяц соответствующего года и деления полученной суммы на 12. При этом среднесписочная численность работников за месяц определяется делением суммы численности работников списочного состава за каждый календарный день на число календарных дней месяца.</w:t>
      </w:r>
    </w:p>
    <w:p w:rsidR="006C3A57" w:rsidRPr="00073C53" w:rsidRDefault="006C3A57" w:rsidP="006C3A57">
      <w:pPr>
        <w:pStyle w:val="a5"/>
        <w:spacing w:before="60"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51E13">
        <w:rPr>
          <w:rFonts w:ascii="Times New Roman" w:hAnsi="Times New Roman" w:cs="Times New Roman"/>
          <w:sz w:val="22"/>
          <w:szCs w:val="22"/>
        </w:rPr>
        <w:t>Среднемесячная номинальная начисленная заработная плата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работников рассчитывается делением фонда заработной платы, начисленной работникам организаций, на среднесписочную численность и на количество месяцев в периоде. Пособия, получаемые работниками из государственных социальных внебюджетных фондов, не включаются в фонд заработной платы и среднемесячную заработную плату.</w:t>
      </w:r>
    </w:p>
    <w:p w:rsidR="006C3A57" w:rsidRPr="00073C53" w:rsidRDefault="006C3A57" w:rsidP="006C3A57">
      <w:pPr>
        <w:pStyle w:val="a5"/>
        <w:spacing w:before="60"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3C53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Pr="00A7526D">
        <w:rPr>
          <w:rFonts w:ascii="Times New Roman" w:hAnsi="Times New Roman" w:cs="Times New Roman"/>
          <w:bCs/>
          <w:sz w:val="22"/>
          <w:szCs w:val="22"/>
        </w:rPr>
        <w:t>общую численность врачей</w:t>
      </w:r>
      <w:r w:rsidRPr="00073C53">
        <w:rPr>
          <w:rFonts w:ascii="Times New Roman" w:hAnsi="Times New Roman" w:cs="Times New Roman"/>
          <w:b w:val="0"/>
          <w:sz w:val="22"/>
          <w:szCs w:val="22"/>
        </w:rPr>
        <w:t xml:space="preserve"> включаются все врачи с высшим медицинским образованием, занятые в лечебных, санитарных организациях, учреждениях социального обеспечения, научно-исследовательских институтах, учреждениях, занятых подготовкой кадров, в аппарате органов здравоохранения и др.</w:t>
      </w:r>
    </w:p>
    <w:p w:rsidR="006C3A57" w:rsidRPr="00073C53" w:rsidRDefault="006C3A57" w:rsidP="006C3A57">
      <w:pPr>
        <w:pStyle w:val="a5"/>
        <w:spacing w:before="60"/>
        <w:ind w:left="0"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73C53">
        <w:rPr>
          <w:rFonts w:ascii="Times New Roman" w:hAnsi="Times New Roman" w:cs="Times New Roman"/>
          <w:b w:val="0"/>
          <w:sz w:val="22"/>
          <w:szCs w:val="22"/>
        </w:rPr>
        <w:t>Квалификационные категории врачей присваиваются в соответствии с профессиональной подготовкой и стажем работы.</w:t>
      </w:r>
    </w:p>
    <w:p w:rsidR="006C3A57" w:rsidRPr="00073C53" w:rsidRDefault="006C3A57" w:rsidP="006C3A57">
      <w:pPr>
        <w:spacing w:before="60"/>
        <w:ind w:firstLine="720"/>
        <w:jc w:val="both"/>
        <w:rPr>
          <w:sz w:val="22"/>
          <w:szCs w:val="22"/>
        </w:rPr>
      </w:pPr>
      <w:r w:rsidRPr="00073C53"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общую численность среднего медицинского </w:t>
      </w:r>
      <w:r w:rsidRPr="00A7526D">
        <w:rPr>
          <w:b/>
          <w:sz w:val="22"/>
          <w:szCs w:val="22"/>
        </w:rPr>
        <w:t>персонала</w:t>
      </w:r>
      <w:r>
        <w:rPr>
          <w:sz w:val="22"/>
          <w:szCs w:val="22"/>
        </w:rPr>
        <w:t xml:space="preserve"> </w:t>
      </w:r>
      <w:r w:rsidRPr="00073C53">
        <w:rPr>
          <w:sz w:val="22"/>
          <w:szCs w:val="22"/>
        </w:rPr>
        <w:t>включаются все лица со средним медицин</w:t>
      </w:r>
      <w:r>
        <w:rPr>
          <w:sz w:val="22"/>
          <w:szCs w:val="22"/>
        </w:rPr>
        <w:t>ским образованием, занятые в лечеб</w:t>
      </w:r>
      <w:r w:rsidRPr="00073C53">
        <w:rPr>
          <w:sz w:val="22"/>
          <w:szCs w:val="22"/>
        </w:rPr>
        <w:t>ных, санитарных орга</w:t>
      </w:r>
      <w:r>
        <w:rPr>
          <w:sz w:val="22"/>
          <w:szCs w:val="22"/>
        </w:rPr>
        <w:t>низа</w:t>
      </w:r>
      <w:r w:rsidRPr="00073C53">
        <w:rPr>
          <w:sz w:val="22"/>
          <w:szCs w:val="22"/>
        </w:rPr>
        <w:t>циях, учреждениях с</w:t>
      </w:r>
      <w:r>
        <w:rPr>
          <w:sz w:val="22"/>
          <w:szCs w:val="22"/>
        </w:rPr>
        <w:t>оциального обеспечения, дошколь</w:t>
      </w:r>
      <w:r w:rsidRPr="00073C53">
        <w:rPr>
          <w:sz w:val="22"/>
          <w:szCs w:val="22"/>
        </w:rPr>
        <w:t>ных</w:t>
      </w:r>
      <w:r>
        <w:rPr>
          <w:sz w:val="22"/>
          <w:szCs w:val="22"/>
        </w:rPr>
        <w:t xml:space="preserve"> и</w:t>
      </w:r>
      <w:r w:rsidRPr="00073C53">
        <w:rPr>
          <w:sz w:val="22"/>
          <w:szCs w:val="22"/>
        </w:rPr>
        <w:t xml:space="preserve"> общеобразовательных учреждениях, домах ребенка и др.</w:t>
      </w:r>
    </w:p>
    <w:p w:rsidR="006C3A57" w:rsidRDefault="006C3A57" w:rsidP="006C3A57">
      <w:pPr>
        <w:pStyle w:val="2"/>
        <w:spacing w:before="60" w:line="240" w:lineRule="auto"/>
        <w:ind w:left="0" w:firstLine="720"/>
        <w:jc w:val="both"/>
        <w:rPr>
          <w:sz w:val="22"/>
          <w:szCs w:val="22"/>
        </w:rPr>
      </w:pPr>
      <w:r w:rsidRPr="00073C53">
        <w:rPr>
          <w:sz w:val="22"/>
          <w:szCs w:val="22"/>
        </w:rPr>
        <w:t>Специальности подготовки специалистов в средних и высших профессиональных учебных заведениях приведены в соответствии с Общероссийским классификатором специальностей по образованию (ОКСО).</w:t>
      </w:r>
    </w:p>
    <w:p w:rsidR="006C3A57" w:rsidRPr="000B1226" w:rsidRDefault="006C3A57" w:rsidP="006C3A57">
      <w:pPr>
        <w:pStyle w:val="a5"/>
        <w:ind w:lef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B1DA0" w:rsidRDefault="00AB1DA0"/>
    <w:sectPr w:rsidR="00AB1DA0" w:rsidSect="00DD345E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57"/>
    <w:rsid w:val="006C3A57"/>
    <w:rsid w:val="00AB1DA0"/>
    <w:rsid w:val="00BB4FA5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C2BD73-92C0-42B6-8769-014BA13F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3A57"/>
    <w:pPr>
      <w:tabs>
        <w:tab w:val="left" w:pos="6634"/>
      </w:tabs>
      <w:spacing w:after="120"/>
      <w:jc w:val="center"/>
    </w:pPr>
    <w:rPr>
      <w:rFonts w:ascii="Arial" w:hAnsi="Arial" w:cs="Arial"/>
      <w:b/>
      <w:sz w:val="16"/>
    </w:rPr>
  </w:style>
  <w:style w:type="character" w:customStyle="1" w:styleId="a4">
    <w:name w:val="Заголовок Знак"/>
    <w:basedOn w:val="a0"/>
    <w:link w:val="a3"/>
    <w:rsid w:val="006C3A57"/>
    <w:rPr>
      <w:rFonts w:ascii="Arial" w:eastAsia="Times New Roman" w:hAnsi="Arial" w:cs="Arial"/>
      <w:b/>
      <w:sz w:val="16"/>
      <w:szCs w:val="24"/>
      <w:lang w:eastAsia="ru-RU"/>
    </w:rPr>
  </w:style>
  <w:style w:type="paragraph" w:styleId="a5">
    <w:name w:val="Body Text Indent"/>
    <w:basedOn w:val="a"/>
    <w:link w:val="a6"/>
    <w:rsid w:val="006C3A57"/>
    <w:pPr>
      <w:ind w:left="113" w:hanging="113"/>
      <w:jc w:val="center"/>
    </w:pPr>
    <w:rPr>
      <w:rFonts w:ascii="Arial" w:hAnsi="Arial" w:cs="Arial"/>
      <w:b/>
      <w:sz w:val="16"/>
    </w:rPr>
  </w:style>
  <w:style w:type="character" w:customStyle="1" w:styleId="a6">
    <w:name w:val="Основной текст с отступом Знак"/>
    <w:basedOn w:val="a0"/>
    <w:link w:val="a5"/>
    <w:rsid w:val="006C3A57"/>
    <w:rPr>
      <w:rFonts w:ascii="Arial" w:eastAsia="Times New Roman" w:hAnsi="Arial" w:cs="Arial"/>
      <w:b/>
      <w:sz w:val="16"/>
      <w:szCs w:val="24"/>
      <w:lang w:eastAsia="ru-RU"/>
    </w:rPr>
  </w:style>
  <w:style w:type="paragraph" w:styleId="2">
    <w:name w:val="Body Text Indent 2"/>
    <w:basedOn w:val="a"/>
    <w:link w:val="20"/>
    <w:rsid w:val="006C3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3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 А.В.</dc:creator>
  <cp:lastModifiedBy>Захарова Евгения Егоровна</cp:lastModifiedBy>
  <cp:revision>2</cp:revision>
  <dcterms:created xsi:type="dcterms:W3CDTF">2022-10-05T07:41:00Z</dcterms:created>
  <dcterms:modified xsi:type="dcterms:W3CDTF">2022-10-05T07:41:00Z</dcterms:modified>
</cp:coreProperties>
</file>